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b/>
          <w:sz w:val="48"/>
          <w:szCs w:val="48"/>
        </w:rPr>
      </w:pPr>
      <w:r>
        <w:rPr>
          <w:rFonts w:hint="eastAsia" w:ascii="方正小标宋简体" w:eastAsia="方正小标宋简体" w:cs="方正小标宋简体"/>
          <w:b/>
          <w:sz w:val="48"/>
          <w:szCs w:val="48"/>
        </w:rPr>
        <w:t>上海市哲学社会科学“十三五”规划</w:t>
      </w:r>
    </w:p>
    <w:p>
      <w:pPr>
        <w:jc w:val="center"/>
        <w:rPr>
          <w:rFonts w:ascii="方正小标宋简体" w:eastAsia="方正小标宋简体" w:cs="Times New Roman"/>
          <w:sz w:val="44"/>
          <w:szCs w:val="44"/>
        </w:rPr>
      </w:pPr>
      <w:r>
        <w:rPr>
          <w:rFonts w:ascii="方正小标宋简体" w:eastAsia="方正小标宋简体" w:cs="方正小标宋简体"/>
          <w:b/>
          <w:sz w:val="48"/>
          <w:szCs w:val="48"/>
        </w:rPr>
        <w:t>20</w:t>
      </w:r>
      <w:r>
        <w:rPr>
          <w:rFonts w:hint="eastAsia" w:ascii="方正小标宋简体" w:eastAsia="方正小标宋简体" w:cs="方正小标宋简体"/>
          <w:b/>
          <w:sz w:val="48"/>
          <w:szCs w:val="48"/>
        </w:rPr>
        <w:t>20年度课题指南</w:t>
      </w: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楷体_GB2312" w:eastAsia="楷体_GB2312" w:cs="Times New Roman"/>
          <w:b/>
          <w:bCs/>
          <w:sz w:val="32"/>
          <w:szCs w:val="32"/>
        </w:rPr>
      </w:pPr>
      <w:r>
        <w:rPr>
          <w:rFonts w:hint="eastAsia" w:ascii="楷体_GB2312" w:eastAsia="楷体_GB2312" w:cs="楷体_GB2312"/>
          <w:b/>
          <w:bCs/>
          <w:sz w:val="32"/>
          <w:szCs w:val="32"/>
        </w:rPr>
        <w:t>上海市哲学社会科学规划办公室</w:t>
      </w:r>
    </w:p>
    <w:p>
      <w:pPr>
        <w:jc w:val="center"/>
        <w:rPr>
          <w:rFonts w:ascii="楷体_GB2312" w:eastAsia="楷体_GB2312" w:cs="楷体_GB2312"/>
          <w:b/>
          <w:bCs/>
          <w:sz w:val="32"/>
          <w:szCs w:val="32"/>
        </w:rPr>
      </w:pPr>
      <w:r>
        <w:rPr>
          <w:rFonts w:ascii="楷体_GB2312" w:eastAsia="楷体_GB2312" w:cs="楷体_GB2312"/>
          <w:b/>
          <w:bCs/>
          <w:sz w:val="32"/>
          <w:szCs w:val="32"/>
        </w:rPr>
        <w:t>20</w:t>
      </w:r>
      <w:r>
        <w:rPr>
          <w:rFonts w:hint="eastAsia" w:ascii="楷体_GB2312" w:eastAsia="楷体_GB2312" w:cs="楷体_GB2312"/>
          <w:b/>
          <w:bCs/>
          <w:sz w:val="32"/>
          <w:szCs w:val="32"/>
        </w:rPr>
        <w:t>20年7月</w:t>
      </w:r>
    </w:p>
    <w:p>
      <w:pPr>
        <w:jc w:val="center"/>
        <w:rPr>
          <w:rFonts w:ascii="楷体_GB2312" w:eastAsia="楷体_GB2312" w:cs="楷体_GB2312"/>
          <w:b/>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titlePg/>
          <w:docGrid w:type="lines" w:linePitch="312" w:charSpace="0"/>
        </w:sectPr>
      </w:pPr>
      <w:r>
        <w:rPr>
          <w:rFonts w:ascii="楷体_GB2312" w:eastAsia="楷体_GB2312" w:cs="楷体_GB2312"/>
          <w:b/>
          <w:bCs/>
          <w:sz w:val="32"/>
          <w:szCs w:val="32"/>
        </w:rPr>
        <w:br w:type="page"/>
      </w:r>
    </w:p>
    <w:p>
      <w:pPr>
        <w:adjustRightInd w:val="0"/>
        <w:snapToGrid w:val="0"/>
        <w:spacing w:line="360" w:lineRule="auto"/>
        <w:ind w:firstLine="422" w:firstLineChars="200"/>
        <w:rPr>
          <w:rFonts w:ascii="方正小标宋简体" w:eastAsia="方正小标宋简体" w:cs="方正小标宋简体"/>
          <w:b/>
          <w:bCs/>
        </w:rPr>
      </w:pPr>
      <w:bookmarkStart w:id="0" w:name="_Toc482696864"/>
      <w:bookmarkStart w:id="1" w:name="_Toc411928745"/>
      <w:bookmarkStart w:id="2" w:name="_Toc444002855"/>
    </w:p>
    <w:p>
      <w:pPr>
        <w:pStyle w:val="2"/>
        <w:jc w:val="center"/>
        <w:rPr>
          <w:rFonts w:ascii="方正小标宋简体" w:eastAsia="方正小标宋简体"/>
          <w:b w:val="0"/>
          <w:bCs w:val="0"/>
        </w:rPr>
      </w:pPr>
      <w:r>
        <w:rPr>
          <w:rFonts w:hint="eastAsia" w:ascii="方正小标宋简体" w:eastAsia="方正小标宋简体" w:cs="方正小标宋简体"/>
          <w:b w:val="0"/>
          <w:bCs w:val="0"/>
        </w:rPr>
        <w:t>申报说明</w:t>
      </w:r>
      <w:bookmarkEnd w:id="0"/>
      <w:bookmarkEnd w:id="1"/>
      <w:bookmarkEnd w:id="2"/>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 xml:space="preserve">一、申报上海市哲学社会科学规划课题的指导思想是，高举中国特色社会主义伟大旗帜，全面贯彻党的十九大和十九届二中、三中、四中全会精神，以马克思列宁主义、毛泽东思想、邓小平理论、“三个代表”重要思想、科学发展观、习近平新时代中国特色社会主义思想为指导，坚持解放思想、实事求是、与时俱进、求真务实，坚持以重大理论和现实问题为主攻方向，坚持基础研究与应用研究并重，注重新兴边缘交叉学科和跨学科综合研究，着力用当代马克思主义凝聚思想共识，努力构建中国特色的哲学社会科学，发挥上海市哲学社会科学规划课题的示范引导作用，推动哲学社会科学为党和政府决策服务，为社会主义文化大发展大繁荣服务。 </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二、《上海市哲学社会科学“十三五”规划</w:t>
      </w:r>
      <w:r>
        <w:rPr>
          <w:rFonts w:ascii="仿宋_GB2312" w:eastAsia="仿宋_GB2312" w:cs="仿宋_GB2312"/>
          <w:sz w:val="30"/>
          <w:szCs w:val="30"/>
        </w:rPr>
        <w:t>20</w:t>
      </w:r>
      <w:r>
        <w:rPr>
          <w:rFonts w:hint="eastAsia" w:ascii="仿宋_GB2312" w:eastAsia="仿宋_GB2312" w:cs="仿宋_GB2312"/>
          <w:sz w:val="30"/>
          <w:szCs w:val="30"/>
        </w:rPr>
        <w:t>20年度课题指南》（以下简称《课题指南》）指导上海市哲学社会科学规划各类课题申报。2020年上海市哲学社会科学规划年度课题设一般课题和青年课题两类，面向全市公开招标，公平竞争，择优立项。一般课题资助经费为每项8万元，青年课题资助经费为每项6万元。</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三、课题申请人须具备下列条件：遵守中华人民共和国宪法和法律；在上海市工作或者居住；具有独立开展研究和组织开展研究的能力，能够承担实质性研究工作；年龄不超过35周岁（1985年7月31日后出生）的青年科研人员可以申请青年课题；申请人可以根据研究的实际需要自主确定研究团队，但必须征得参与人本人同意并签字确认，否则视为违规申报；正式受聘于本市高校和科研院所等的港澳台研究人员，可以根据相关条件申请上海市哲学社会科学规划各类课题；在站博士后人员均可申请市社科规划课题，其中在职博士后可从所在工作单位或博士后工作站申请，全脱产博士后从所在博士后工作站申请；全日制在读研究生不能申请。(</w:t>
      </w:r>
      <w:r>
        <w:rPr>
          <w:rFonts w:hint="eastAsia" w:ascii="楷体_GB2312" w:eastAsia="楷体_GB2312" w:cs="仿宋_GB2312"/>
          <w:sz w:val="30"/>
          <w:szCs w:val="30"/>
        </w:rPr>
        <w:t>不具有副高级以上专业技术职称或未获得博士学位的科研人员可直接申报一般课题或青年课题，不再要求正高级专业技术职称的同行专家书面推荐。</w:t>
      </w:r>
      <w:r>
        <w:rPr>
          <w:rFonts w:hint="eastAsia" w:ascii="仿宋_GB2312" w:eastAsia="仿宋_GB2312" w:cs="仿宋_GB2312"/>
          <w:sz w:val="30"/>
          <w:szCs w:val="30"/>
        </w:rPr>
        <w:t>)</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四、课题申请单位须符合以下条件：在相关领域具有较雄厚的学术资源和研究实力；设有科研管理职能部门；能够提供开展研究的必要条件并承诺信誉保证；以兼职人员身份从兼职单位申报市社科规划课题的，兼职单位须审核兼职人员正式聘用关系的真实性，承担课题管理职责并承诺信誉保证；鼓励社会智库参与申报各类市社科规划课题。</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五、课题申报范围</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1．课题申报按学科进行，学科选择参见《上海市哲学社会科学规划课题申报数据代码表》中的学科分类目录。跨学科研究选题要以“靠近优先”原则，选择一个学科进行申报。</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2．《课题指南》围绕深入学习贯彻习近平新时代中国特色社会主义思想，根据本市全面学习贯彻落实习近平总书记考察上海重要讲话精神，全面贯彻落实党的十九大和十九届二中、三中、四中全会精神，加快构建中国特色哲学社会科学，加快推进“三大任务、一大平台”国家战略，奋力创造新时代上海发展新奇迹的需要，拟定一批重点方向性研究选题。选题只规定研究范围和方向，申请人可根据自己的研究专长和研究基础，选择不同的研究角度、方法和侧重点，自行设计具体题目进行申报。</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3．各学科均鼓励申请人根据研究兴趣和学术积累申报自选课题。自选课题应符合本次课题招标的指导思想和基本要求，充分反映所在学科及相关研究领域的最新进展，力求居于学科前沿。基础研究要具有原创性、开拓性和较高的学术价值，应用研究要具有现实性、针对性和较强的决策参考价值，着力推出体现国家水准和本市水平的研究成果。自选课题与按《课题指南》申报的选题在评审程序、评审标准、立项指标、资助强度等方面同样对待。</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六、课题研究时限一般不超过3年，其中时效性较强的应用类课题要求在立项后1年内完成；基础类课题一般为2－3年内完成。</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七、为避免一题多报、交叉申请和重复立项，确保申请人有足够的时间和精力从事课题研究，2020年度市社科规划课题申请作出如下限定：</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1．课题申请人同年度只能申报一项市社科规划课题，且不能作为课题组成员参与其他市社科规划课题的申请；课题组成员同年度最多参与两项市社科规划课题申请；在研课题的课题组成员最多参与一项市社科规划课题申请。</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2．在研国家社科基金项目、国家自然科学基金项目、市社科规划课题以及其他国家级、省部级课题负责人不能申请新的市社科规划课题。</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3．申报市社科规划课题的课题申请人同年度申报国家社科基金项目、国家自然科学基金以及其他国家级科研项目的，其课题组成员不能以内容相同或相近选题申报市社科规划课题。若课题申请人申报的本年度国家级项目获得立项资助，所申报的市社科规划课题不再予以立项。</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4．凡在内容上与在研或已结项的各级各类项目有较大关联的申请课题，须在《申请书》中详细注明所申请课题与已承担项目的联系和区别，否则视为重复申请。不得以内容基本相同或相近的同一成果申请多项课题结项。</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5．凡以博士学位论文或博士后出站报告为基础申报市社科规划课题的，须在《申请书》中注明所申请课题与学位论文（出站报告）的联系和区别，申请鉴定结项时提交学位论文（出站报告）原件。</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6．不得以已出版的内容基本相同或相近的研究成果申请市社科规划课题。</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7．凡以市社科规划课题名义发表阶段性成果或最终成果，不得同时标注多家基金或项目资助字样。</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八、课题申报具体要求和注意事项：</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1．上海市哲学社会科学规划课题采用网上填报方式，申报者须在我办网站的课题申报管理系统中注册个人用户（已注册用户直接登陆系统即可），完成实名认证，补充（更新）个人资料，填写相关课题申报数据，将系统自动生成的课题申请书电子文档打印装订后，送所在单位科研管理部门审核。课题申报所需材料从我办网站（http://www.sh-popss.gov.cn）下载。申请书必须用A3纸双面打印，中缝装订。</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2．各单位科研管理部门要加强对课题申报工作的组织和指导，保证申报质量，对申请书所有栏目填写的内容，特别是对申报者资格、选题、课题设计的科学性和可行性，课题组是否具有完成研究任务的充分条件，进行认真审核，并签署明确意见。</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凡有下列情形之一的，不予受理：</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（1）申请资格不符合《上海市哲学社会科学规划课题管理办法》相关规定的。</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2）选题不符合《课题指南》要求，或不具有重要研究价值的；“课题论证”明显简单草率，填写内容有明显缺项的；无相关前期研究成果或前期研究成果与所申报课题无关的；申请书填写内容（包括申请人及课题组成员的基本情况、前期成果等）不实、弄虚作假，或相关成果存在署名等知识产权争议的。</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（3）申请人主持的各类国家级和省部级研究项目在2020年7月31日前未获得结项批复的（以结项证书日期为准）。</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（4）申请人主持的各类国家社科基金项目和市社科规划课题被撤项或终止处理尚在资格限制期内，或有其他信誉不良记录被通报批评的。</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（5）未按照《申请书》规范填写纸质表格和打印装订的。</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（6）未按照“课题申报管理系统”要求进行实名认证，或提交的证件信息与用户注册时不符的。</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（7）未按照“课题申报管理系统”要求在线填写数据，或填报数据与报送的纸质《申请书》“数据表”内容不一致的。</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3．各单位科研管理部门需对本单位申报者的实名认证信息和网上录入数据进行审核。</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4．各单位科研管理部门要做好申报材料的汇总和报送工作，保证《申请书》数据填写的准确性和报送材料的完整性。</w:t>
      </w:r>
    </w:p>
    <w:p>
      <w:pPr>
        <w:adjustRightInd w:val="0"/>
        <w:snapToGrid w:val="0"/>
        <w:spacing w:line="360" w:lineRule="auto"/>
        <w:ind w:firstLine="600" w:firstLineChars="200"/>
        <w:rPr>
          <w:rFonts w:ascii="仿宋_GB2312" w:eastAsia="仿宋_GB2312" w:cs="仿宋_GB2312"/>
          <w:sz w:val="30"/>
          <w:szCs w:val="30"/>
        </w:rPr>
      </w:pPr>
      <w:r>
        <w:rPr>
          <w:rFonts w:hint="eastAsia" w:ascii="仿宋_GB2312" w:eastAsia="仿宋_GB2312" w:cs="仿宋_GB2312"/>
          <w:sz w:val="30"/>
          <w:szCs w:val="30"/>
        </w:rPr>
        <w:t>5．课题申报从即日起至2020年7月</w:t>
      </w:r>
      <w:r>
        <w:rPr>
          <w:rFonts w:hint="eastAsia" w:ascii="仿宋_GB2312" w:eastAsia="仿宋_GB2312" w:cs="仿宋_GB2312"/>
          <w:sz w:val="30"/>
          <w:szCs w:val="30"/>
          <w:lang w:val="en-US" w:eastAsia="zh-CN"/>
        </w:rPr>
        <w:t>28</w:t>
      </w:r>
      <w:r>
        <w:rPr>
          <w:rFonts w:hint="eastAsia" w:ascii="仿宋_GB2312" w:eastAsia="仿宋_GB2312" w:cs="仿宋_GB2312"/>
          <w:sz w:val="30"/>
          <w:szCs w:val="30"/>
        </w:rPr>
        <w:t>日止，逾期不予受理。申请人务必于7月20日前提交实名认证信息，以便所在单位科研管理部门集中审核。</w:t>
      </w:r>
      <w:bookmarkStart w:id="3" w:name="_GoBack"/>
      <w:bookmarkEnd w:id="3"/>
    </w:p>
    <w:p>
      <w:pPr>
        <w:adjustRightInd w:val="0"/>
        <w:snapToGrid w:val="0"/>
        <w:spacing w:line="360" w:lineRule="auto"/>
        <w:ind w:firstLine="600" w:firstLineChars="200"/>
        <w:rPr>
          <w:rFonts w:ascii="仿宋_GB2312" w:eastAsia="仿宋_GB2312" w:cs="仿宋_GB2312"/>
          <w:sz w:val="30"/>
          <w:szCs w:val="30"/>
        </w:rPr>
      </w:pPr>
    </w:p>
    <w:p>
      <w:pPr>
        <w:adjustRightInd w:val="0"/>
        <w:snapToGrid w:val="0"/>
        <w:spacing w:line="360" w:lineRule="auto"/>
        <w:jc w:val="center"/>
        <w:rPr>
          <w:rFonts w:ascii="方正小标宋简体" w:eastAsia="方正小标宋简体" w:cs="方正小标宋简体"/>
          <w:b/>
          <w:bCs/>
          <w:sz w:val="36"/>
          <w:szCs w:val="36"/>
        </w:rPr>
      </w:pPr>
      <w:r>
        <w:rPr>
          <w:rFonts w:ascii="仿宋_GB2312" w:hAnsi="新宋体" w:eastAsia="仿宋_GB2312"/>
          <w:sz w:val="32"/>
          <w:szCs w:val="32"/>
        </w:rPr>
        <w:br w:type="page"/>
      </w:r>
    </w:p>
    <w:p>
      <w:pPr>
        <w:pStyle w:val="2"/>
        <w:adjustRightInd w:val="0"/>
        <w:snapToGrid w:val="0"/>
        <w:spacing w:beforeLines="50" w:afterLines="100" w:line="360" w:lineRule="auto"/>
        <w:jc w:val="center"/>
        <w:rPr>
          <w:rFonts w:ascii="方正小标宋简体" w:eastAsia="方正小标宋简体" w:cs="方正小标宋简体"/>
          <w:bCs w:val="0"/>
        </w:rPr>
      </w:pPr>
      <w:r>
        <w:rPr>
          <w:rFonts w:hint="eastAsia" w:ascii="方正小标宋简体" w:eastAsia="方正小标宋简体" w:cs="方正小标宋简体"/>
          <w:bCs w:val="0"/>
        </w:rPr>
        <w:t>2</w:t>
      </w:r>
      <w:r>
        <w:rPr>
          <w:rFonts w:ascii="方正小标宋简体" w:eastAsia="方正小标宋简体" w:cs="方正小标宋简体"/>
          <w:bCs w:val="0"/>
        </w:rPr>
        <w:t>0</w:t>
      </w:r>
      <w:r>
        <w:rPr>
          <w:rFonts w:hint="eastAsia" w:ascii="方正小标宋简体" w:eastAsia="方正小标宋简体" w:cs="方正小标宋简体"/>
          <w:bCs w:val="0"/>
        </w:rPr>
        <w:t>20年度市社科规划课题指南</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习近平总书记关于上海工作重要论述研究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中国共产党建党百年历程、成就与经验研究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建立不忘初心、牢记使命长效机制研究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napToGrid w:val="0"/>
          <w:kern w:val="0"/>
          <w:sz w:val="32"/>
          <w:szCs w:val="32"/>
        </w:rPr>
        <w:t>中国共产党初心的当代价值与实现形式研究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“人民城市人民建、人民城市为人民”重要理念研究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cs="Times New Roman" w:hAnsiTheme="minorEastAsia"/>
          <w:sz w:val="32"/>
          <w:szCs w:val="32"/>
        </w:rPr>
        <w:t>推进国家治理体系和治理能力现代化的上海实践研究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napToGrid w:val="0"/>
          <w:kern w:val="0"/>
          <w:sz w:val="32"/>
          <w:szCs w:val="32"/>
        </w:rPr>
        <w:t>重大疫情防控与上海城市治理能力现代化建设研究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napToGrid w:val="0"/>
          <w:kern w:val="0"/>
          <w:sz w:val="32"/>
          <w:szCs w:val="32"/>
        </w:rPr>
        <w:t>进一步完善上海重大疫情防控体制机制研究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进一步健全上海公共卫生应急管理体系研究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上海自贸试验区与临港新片区改革协同联动研究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上海自贸试验区临港新片区制度创新和风险防范研究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深入推进科创板及注册制改革，推动实体经济、科技创新、现代金融协同发展研究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持续放大中国国际进口博览会溢出带动效应研究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bCs/>
          <w:sz w:val="32"/>
          <w:szCs w:val="32"/>
        </w:rPr>
        <w:t>长三角生态绿色一体化发展示范区建设研究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上海强化全球资源配置功能的制度创新研究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上海培育科技创新策源功能的基础设施及相关机制研究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上海构筑高端产业引领功能的产业体系及其组织体系研究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上海扩展开放枢纽门户功能的网络体系研究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“十四五”期间全球经济发展趋势及上海应对策略研究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napToGrid w:val="0"/>
          <w:kern w:val="0"/>
          <w:sz w:val="32"/>
          <w:szCs w:val="32"/>
        </w:rPr>
        <w:t>上海统筹疫情防控与经济社会发展研究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上海进一步推进人工智能与数字经济发展的路径和机制研究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上海以虹桥商务区为中心的跨区域国际贸易走廊建设研究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上海国资国企深化改革路径及举措研究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进一步优化上海营商环境的瓶颈和对策研究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深化上海政务服务“一网通办”研究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上海打造服务“一带一路”建设桥头堡研究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bCs/>
          <w:sz w:val="32"/>
          <w:szCs w:val="32"/>
        </w:rPr>
        <w:t>深度贫困地区实施精准扶贫的上海经验研究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上海对口支援的体制机制创新研究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上海医疗保障基金和公共卫生服务资金统筹使用机制研究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上海健全重大疾病医疗保险和救助机制、完善应急救助机制研究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应对重大</w:t>
      </w:r>
      <w:r>
        <w:rPr>
          <w:rFonts w:hint="eastAsia" w:ascii="仿宋_GB2312" w:eastAsia="仿宋_GB2312" w:hAnsiTheme="minorEastAsia"/>
          <w:snapToGrid w:val="0"/>
          <w:kern w:val="0"/>
          <w:sz w:val="32"/>
          <w:szCs w:val="32"/>
        </w:rPr>
        <w:t>突发</w:t>
      </w:r>
      <w:r>
        <w:rPr>
          <w:rFonts w:hint="eastAsia" w:ascii="仿宋_GB2312" w:eastAsia="仿宋_GB2312" w:hAnsiTheme="minorEastAsia"/>
          <w:sz w:val="32"/>
          <w:szCs w:val="32"/>
        </w:rPr>
        <w:t>公共卫生事件法律体系建设研究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超大城市治理的理论和实践问题研究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上海城市运行“一网统管”运行评估及完善措施研究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napToGrid w:val="0"/>
          <w:kern w:val="0"/>
          <w:sz w:val="32"/>
          <w:szCs w:val="32"/>
        </w:rPr>
        <w:t>超大城市基层社会治理能力建设研究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bCs/>
          <w:snapToGrid w:val="0"/>
          <w:kern w:val="0"/>
          <w:sz w:val="32"/>
          <w:szCs w:val="32"/>
        </w:rPr>
        <w:t>城市社区协商治理的有效性研究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两级政府三级管理体制机制研究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上海全球科创中心建设中的军民科技协同创新问题研究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新时代产业工人理论创新研究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近十年女性社会地位变化及影响因素研究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上海城市人口规模及人口结构的中长期预测及政策研究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上海持续推进“五位一体”社会养老服务体系建设研究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bCs/>
          <w:sz w:val="32"/>
          <w:szCs w:val="32"/>
        </w:rPr>
        <w:t>重大疫情应对中宣传、思想教育途径与方式创新研究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疫情影响下就业观念和择业方式新变化研究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关于“全过程民主”的理论体系和制度体系研究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坚持完善人民当家作主制度体系研究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人民政协制度的独特优势和作用发挥研究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《民法典》实施与法治中国建设研究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“十四五”时期持续打响“上海文化”品牌战略研究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红色基因涵养上海城市精神研究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历史文化风貌区和优秀历史建筑保护机制研究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上海文化文物单位IP授权与文化创意产品开发研究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bCs/>
          <w:snapToGrid w:val="0"/>
          <w:kern w:val="0"/>
          <w:sz w:val="32"/>
          <w:szCs w:val="32"/>
        </w:rPr>
        <w:t>健全重大突发事件舆论引导机制与提升中国国际话语权研究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旧区改造与社区生态系统再造研究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上海生态之城建设的内涵、目标和实施路径研究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napToGrid w:val="0"/>
          <w:kern w:val="0"/>
          <w:sz w:val="32"/>
          <w:szCs w:val="32"/>
          <w:lang w:bidi="zh-TW"/>
        </w:rPr>
        <w:t>《监察法》实施中的监督职能实现机制问题研究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国际格局大变革与我国对外关系战略研究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新时代党的组织体系建设的关键问题研究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提升基层党组织政治功能和组织力研究</w:t>
      </w:r>
    </w:p>
    <w:p>
      <w:pPr>
        <w:pStyle w:val="12"/>
        <w:numPr>
          <w:ilvl w:val="3"/>
          <w:numId w:val="1"/>
        </w:numPr>
        <w:adjustRightInd w:val="0"/>
        <w:snapToGrid w:val="0"/>
        <w:spacing w:line="300" w:lineRule="auto"/>
        <w:ind w:left="426" w:firstLineChars="0"/>
        <w:rPr>
          <w:rFonts w:ascii="仿宋_GB2312" w:eastAsia="仿宋_GB2312" w:hAnsiTheme="minorEastAsia"/>
          <w:sz w:val="32"/>
          <w:szCs w:val="32"/>
        </w:rPr>
      </w:pPr>
      <w:r>
        <w:rPr>
          <w:rFonts w:hint="eastAsia" w:ascii="仿宋_GB2312" w:eastAsia="仿宋_GB2312" w:hAnsiTheme="minorEastAsia"/>
          <w:sz w:val="32"/>
          <w:szCs w:val="32"/>
        </w:rPr>
        <w:t>深化党建引领下的基层治理创新研究</w:t>
      </w:r>
    </w:p>
    <w:p>
      <w:pPr>
        <w:pStyle w:val="12"/>
        <w:numPr>
          <w:ilvl w:val="3"/>
          <w:numId w:val="1"/>
        </w:numPr>
        <w:adjustRightInd w:val="0"/>
        <w:snapToGrid w:val="0"/>
        <w:spacing w:line="360" w:lineRule="auto"/>
        <w:ind w:left="426" w:firstLineChars="0"/>
        <w:rPr>
          <w:rFonts w:ascii="仿宋_GB2312" w:eastAsia="仿宋_GB2312"/>
          <w:sz w:val="32"/>
          <w:szCs w:val="32"/>
        </w:rPr>
      </w:pPr>
      <w:r>
        <w:rPr>
          <w:rFonts w:hint="eastAsia" w:ascii="仿宋_GB2312" w:eastAsia="仿宋_GB2312" w:hAnsiTheme="minorEastAsia"/>
          <w:sz w:val="32"/>
          <w:szCs w:val="32"/>
        </w:rPr>
        <w:t>深化拓展新兴领域党建工作研究</w:t>
      </w:r>
    </w:p>
    <w:sectPr>
      <w:footerReference r:id="rId9"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4 -</w:t>
    </w:r>
    <w:r>
      <w:rPr>
        <w:sz w:val="24"/>
        <w:szCs w:val="24"/>
      </w:rPr>
      <w:fldChar w:fldCharType="end"/>
    </w:r>
  </w:p>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3A94"/>
    <w:multiLevelType w:val="multilevel"/>
    <w:tmpl w:val="46613A94"/>
    <w:lvl w:ilvl="0" w:tentative="0">
      <w:start w:val="1"/>
      <w:numFmt w:val="decimal"/>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B00CA"/>
    <w:rsid w:val="000519F2"/>
    <w:rsid w:val="00052A8B"/>
    <w:rsid w:val="00067A18"/>
    <w:rsid w:val="00096336"/>
    <w:rsid w:val="000A58DE"/>
    <w:rsid w:val="000C4CB9"/>
    <w:rsid w:val="00114186"/>
    <w:rsid w:val="001177C4"/>
    <w:rsid w:val="00134672"/>
    <w:rsid w:val="001349CC"/>
    <w:rsid w:val="00137D14"/>
    <w:rsid w:val="00150F33"/>
    <w:rsid w:val="0015540B"/>
    <w:rsid w:val="001823D0"/>
    <w:rsid w:val="001866D5"/>
    <w:rsid w:val="00193D9E"/>
    <w:rsid w:val="001963B3"/>
    <w:rsid w:val="00196FED"/>
    <w:rsid w:val="001A3CBB"/>
    <w:rsid w:val="001B48BF"/>
    <w:rsid w:val="001C2C00"/>
    <w:rsid w:val="001D3468"/>
    <w:rsid w:val="00205BC5"/>
    <w:rsid w:val="0021648C"/>
    <w:rsid w:val="002166CE"/>
    <w:rsid w:val="00223816"/>
    <w:rsid w:val="002450EE"/>
    <w:rsid w:val="00250D5E"/>
    <w:rsid w:val="00254876"/>
    <w:rsid w:val="0026033F"/>
    <w:rsid w:val="00267035"/>
    <w:rsid w:val="00272D8B"/>
    <w:rsid w:val="00286D4B"/>
    <w:rsid w:val="002A3A88"/>
    <w:rsid w:val="002B468C"/>
    <w:rsid w:val="002B5E42"/>
    <w:rsid w:val="002C041E"/>
    <w:rsid w:val="002C728C"/>
    <w:rsid w:val="002F10B5"/>
    <w:rsid w:val="00326AFA"/>
    <w:rsid w:val="003272F6"/>
    <w:rsid w:val="00375C01"/>
    <w:rsid w:val="003A05C3"/>
    <w:rsid w:val="003A264D"/>
    <w:rsid w:val="003B0CDE"/>
    <w:rsid w:val="003B1420"/>
    <w:rsid w:val="003B4AE8"/>
    <w:rsid w:val="003C41E8"/>
    <w:rsid w:val="003D451B"/>
    <w:rsid w:val="003D57D4"/>
    <w:rsid w:val="003E27C6"/>
    <w:rsid w:val="003E6039"/>
    <w:rsid w:val="003F1CA0"/>
    <w:rsid w:val="003F1D64"/>
    <w:rsid w:val="004135F8"/>
    <w:rsid w:val="0042507C"/>
    <w:rsid w:val="00430F8D"/>
    <w:rsid w:val="00452499"/>
    <w:rsid w:val="004539C4"/>
    <w:rsid w:val="00460258"/>
    <w:rsid w:val="00482068"/>
    <w:rsid w:val="0049146E"/>
    <w:rsid w:val="00492728"/>
    <w:rsid w:val="00501A00"/>
    <w:rsid w:val="00520887"/>
    <w:rsid w:val="00556F4F"/>
    <w:rsid w:val="005571F5"/>
    <w:rsid w:val="005613F0"/>
    <w:rsid w:val="00562930"/>
    <w:rsid w:val="0057440B"/>
    <w:rsid w:val="005965EE"/>
    <w:rsid w:val="005A3C92"/>
    <w:rsid w:val="005A72BC"/>
    <w:rsid w:val="005C61EC"/>
    <w:rsid w:val="005D4391"/>
    <w:rsid w:val="005D4FB2"/>
    <w:rsid w:val="005E1421"/>
    <w:rsid w:val="005E4032"/>
    <w:rsid w:val="006072F8"/>
    <w:rsid w:val="006238A8"/>
    <w:rsid w:val="00657D39"/>
    <w:rsid w:val="00660C8F"/>
    <w:rsid w:val="006666C0"/>
    <w:rsid w:val="00692B36"/>
    <w:rsid w:val="00692E6D"/>
    <w:rsid w:val="006A0B22"/>
    <w:rsid w:val="006A483C"/>
    <w:rsid w:val="006B61EB"/>
    <w:rsid w:val="006B7F6A"/>
    <w:rsid w:val="006D3F52"/>
    <w:rsid w:val="006E6F6E"/>
    <w:rsid w:val="006F3392"/>
    <w:rsid w:val="006F6DED"/>
    <w:rsid w:val="00701253"/>
    <w:rsid w:val="00702BB1"/>
    <w:rsid w:val="00722972"/>
    <w:rsid w:val="00731A45"/>
    <w:rsid w:val="007378BE"/>
    <w:rsid w:val="0074074E"/>
    <w:rsid w:val="00747E08"/>
    <w:rsid w:val="0075392E"/>
    <w:rsid w:val="00760DC8"/>
    <w:rsid w:val="007655A3"/>
    <w:rsid w:val="00765802"/>
    <w:rsid w:val="007735CA"/>
    <w:rsid w:val="00780714"/>
    <w:rsid w:val="007830A3"/>
    <w:rsid w:val="00784B16"/>
    <w:rsid w:val="00792AA5"/>
    <w:rsid w:val="007C1F7D"/>
    <w:rsid w:val="007C5618"/>
    <w:rsid w:val="007D54B6"/>
    <w:rsid w:val="007E1FFB"/>
    <w:rsid w:val="007F18B0"/>
    <w:rsid w:val="007F6490"/>
    <w:rsid w:val="007F68AF"/>
    <w:rsid w:val="007F7565"/>
    <w:rsid w:val="008030B7"/>
    <w:rsid w:val="008074DE"/>
    <w:rsid w:val="00812386"/>
    <w:rsid w:val="00840432"/>
    <w:rsid w:val="008404C8"/>
    <w:rsid w:val="0084590C"/>
    <w:rsid w:val="00846E4E"/>
    <w:rsid w:val="0086476D"/>
    <w:rsid w:val="00872D4D"/>
    <w:rsid w:val="00882EA9"/>
    <w:rsid w:val="00884B79"/>
    <w:rsid w:val="00897745"/>
    <w:rsid w:val="008B264B"/>
    <w:rsid w:val="008B2FB3"/>
    <w:rsid w:val="008C4CC9"/>
    <w:rsid w:val="008D521A"/>
    <w:rsid w:val="008E2DF5"/>
    <w:rsid w:val="00900B94"/>
    <w:rsid w:val="00902664"/>
    <w:rsid w:val="00903413"/>
    <w:rsid w:val="0091045F"/>
    <w:rsid w:val="009108B4"/>
    <w:rsid w:val="00913B01"/>
    <w:rsid w:val="00925AF9"/>
    <w:rsid w:val="00953E78"/>
    <w:rsid w:val="00964C4D"/>
    <w:rsid w:val="00966508"/>
    <w:rsid w:val="0096668D"/>
    <w:rsid w:val="00966AE1"/>
    <w:rsid w:val="009834C1"/>
    <w:rsid w:val="009B00CA"/>
    <w:rsid w:val="009B0B84"/>
    <w:rsid w:val="009E470D"/>
    <w:rsid w:val="009E4BF3"/>
    <w:rsid w:val="009E5F23"/>
    <w:rsid w:val="009F2D3D"/>
    <w:rsid w:val="00A104C7"/>
    <w:rsid w:val="00A12664"/>
    <w:rsid w:val="00A207DE"/>
    <w:rsid w:val="00A346C1"/>
    <w:rsid w:val="00A43CF2"/>
    <w:rsid w:val="00A56253"/>
    <w:rsid w:val="00A702C6"/>
    <w:rsid w:val="00A90500"/>
    <w:rsid w:val="00A940FF"/>
    <w:rsid w:val="00A95FA2"/>
    <w:rsid w:val="00AB1FBA"/>
    <w:rsid w:val="00AB3789"/>
    <w:rsid w:val="00AC373B"/>
    <w:rsid w:val="00AC5313"/>
    <w:rsid w:val="00AE6730"/>
    <w:rsid w:val="00B014ED"/>
    <w:rsid w:val="00B01812"/>
    <w:rsid w:val="00B14581"/>
    <w:rsid w:val="00B32C12"/>
    <w:rsid w:val="00B7125F"/>
    <w:rsid w:val="00BA429D"/>
    <w:rsid w:val="00BB3612"/>
    <w:rsid w:val="00BC1A69"/>
    <w:rsid w:val="00BD3459"/>
    <w:rsid w:val="00BD59EF"/>
    <w:rsid w:val="00BD6912"/>
    <w:rsid w:val="00C0621C"/>
    <w:rsid w:val="00C071E9"/>
    <w:rsid w:val="00C1636D"/>
    <w:rsid w:val="00C17066"/>
    <w:rsid w:val="00C2689E"/>
    <w:rsid w:val="00C278C6"/>
    <w:rsid w:val="00C507B9"/>
    <w:rsid w:val="00C527E1"/>
    <w:rsid w:val="00C63D04"/>
    <w:rsid w:val="00C97BF7"/>
    <w:rsid w:val="00CB4C0C"/>
    <w:rsid w:val="00CC352C"/>
    <w:rsid w:val="00CC65C6"/>
    <w:rsid w:val="00CD1030"/>
    <w:rsid w:val="00CD1614"/>
    <w:rsid w:val="00CD3B03"/>
    <w:rsid w:val="00CE5906"/>
    <w:rsid w:val="00D038EE"/>
    <w:rsid w:val="00D20D26"/>
    <w:rsid w:val="00D214C2"/>
    <w:rsid w:val="00D4087D"/>
    <w:rsid w:val="00D40ED2"/>
    <w:rsid w:val="00D42E58"/>
    <w:rsid w:val="00D46362"/>
    <w:rsid w:val="00D477A9"/>
    <w:rsid w:val="00D55863"/>
    <w:rsid w:val="00D56784"/>
    <w:rsid w:val="00D56971"/>
    <w:rsid w:val="00D64F2D"/>
    <w:rsid w:val="00D6510D"/>
    <w:rsid w:val="00D93CE7"/>
    <w:rsid w:val="00DA1A45"/>
    <w:rsid w:val="00DA6A5E"/>
    <w:rsid w:val="00DC7F86"/>
    <w:rsid w:val="00DD3982"/>
    <w:rsid w:val="00DE03DE"/>
    <w:rsid w:val="00DF0D45"/>
    <w:rsid w:val="00DF396E"/>
    <w:rsid w:val="00E07FB0"/>
    <w:rsid w:val="00E30F6C"/>
    <w:rsid w:val="00E37B89"/>
    <w:rsid w:val="00E63295"/>
    <w:rsid w:val="00E840D4"/>
    <w:rsid w:val="00E86BDB"/>
    <w:rsid w:val="00E97A24"/>
    <w:rsid w:val="00ED1811"/>
    <w:rsid w:val="00EF5779"/>
    <w:rsid w:val="00F05F64"/>
    <w:rsid w:val="00F2546B"/>
    <w:rsid w:val="00F37A7B"/>
    <w:rsid w:val="00F46AC2"/>
    <w:rsid w:val="00F55D9F"/>
    <w:rsid w:val="00F65785"/>
    <w:rsid w:val="00F70F25"/>
    <w:rsid w:val="00F7132F"/>
    <w:rsid w:val="00F7296F"/>
    <w:rsid w:val="00F80490"/>
    <w:rsid w:val="00F84A04"/>
    <w:rsid w:val="00F90D8D"/>
    <w:rsid w:val="00F92B4E"/>
    <w:rsid w:val="00FA121F"/>
    <w:rsid w:val="00FA6D00"/>
    <w:rsid w:val="00FF4C6D"/>
    <w:rsid w:val="00FF52E3"/>
    <w:rsid w:val="00FF6B66"/>
    <w:rsid w:val="5CD515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iPriority w:val="99"/>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locked/>
    <w:uiPriority w:val="39"/>
  </w:style>
  <w:style w:type="character" w:styleId="9">
    <w:name w:val="Emphasis"/>
    <w:basedOn w:val="8"/>
    <w:qFormat/>
    <w:locked/>
    <w:uiPriority w:val="0"/>
    <w:rPr>
      <w:i/>
      <w:iCs/>
    </w:rPr>
  </w:style>
  <w:style w:type="character" w:styleId="10">
    <w:name w:val="Hyperlink"/>
    <w:uiPriority w:val="99"/>
    <w:rPr>
      <w:color w:val="0000FF"/>
      <w:u w:val="single"/>
    </w:rPr>
  </w:style>
  <w:style w:type="character" w:customStyle="1" w:styleId="11">
    <w:name w:val="标题 1 Char"/>
    <w:basedOn w:val="8"/>
    <w:link w:val="2"/>
    <w:locked/>
    <w:uiPriority w:val="99"/>
    <w:rPr>
      <w:rFonts w:ascii="Calibri" w:hAnsi="Calibri" w:eastAsia="宋体" w:cs="Calibri"/>
      <w:b/>
      <w:bCs/>
      <w:kern w:val="44"/>
      <w:sz w:val="44"/>
      <w:szCs w:val="44"/>
    </w:rPr>
  </w:style>
  <w:style w:type="paragraph" w:styleId="12">
    <w:name w:val="List Paragraph"/>
    <w:basedOn w:val="1"/>
    <w:qFormat/>
    <w:uiPriority w:val="99"/>
    <w:pPr>
      <w:ind w:firstLine="420" w:firstLineChars="200"/>
    </w:pPr>
  </w:style>
  <w:style w:type="character" w:customStyle="1" w:styleId="13">
    <w:name w:val="页眉 Char"/>
    <w:basedOn w:val="8"/>
    <w:link w:val="5"/>
    <w:locked/>
    <w:uiPriority w:val="99"/>
    <w:rPr>
      <w:sz w:val="18"/>
      <w:szCs w:val="18"/>
    </w:rPr>
  </w:style>
  <w:style w:type="character" w:customStyle="1" w:styleId="14">
    <w:name w:val="页脚 Char"/>
    <w:basedOn w:val="8"/>
    <w:link w:val="4"/>
    <w:locked/>
    <w:uiPriority w:val="99"/>
    <w:rPr>
      <w:sz w:val="18"/>
      <w:szCs w:val="18"/>
    </w:rPr>
  </w:style>
  <w:style w:type="character" w:customStyle="1" w:styleId="15">
    <w:name w:val="批注框文本 Char"/>
    <w:basedOn w:val="8"/>
    <w:link w:val="3"/>
    <w:semiHidden/>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665</Words>
  <Characters>3797</Characters>
  <Lines>31</Lines>
  <Paragraphs>8</Paragraphs>
  <TotalTime>17</TotalTime>
  <ScaleCrop>false</ScaleCrop>
  <LinksUpToDate>false</LinksUpToDate>
  <CharactersWithSpaces>4454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2020-06-30T06:53:00Z</dcterms:created>
  <dc:creator>jkjk</dc:creator>
  <cp:lastModifiedBy>佩佩</cp:lastModifiedBy>
  <cp:lastPrinted>2020-06-24T05:01:00Z</cp:lastPrinted>
  <dcterms:modified xsi:type="dcterms:W3CDTF">2020-07-02T06:08:52Z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1690251125</vt:i4>
  </property>
  <property fmtid="{D5CDD505-2E9C-101B-9397-08002B2CF9AE}" pid="3" name="KSOProductBuildVer">
    <vt:lpwstr>2052-11.1.0.9740</vt:lpwstr>
  </property>
</Properties>
</file>