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Style w:val="4"/>
          <w:rFonts w:ascii="Times New Roman" w:hAnsi="Times New Roman" w:eastAsia="黑体"/>
          <w:b w:val="0"/>
          <w:bCs/>
          <w:spacing w:val="7"/>
          <w:sz w:val="32"/>
          <w:szCs w:val="32"/>
        </w:rPr>
      </w:pPr>
      <w:r>
        <w:rPr>
          <w:rStyle w:val="4"/>
          <w:rFonts w:ascii="Times New Roman" w:hAnsi="Times New Roman" w:eastAsia="黑体"/>
          <w:b w:val="0"/>
          <w:bCs/>
          <w:spacing w:val="7"/>
          <w:sz w:val="32"/>
          <w:szCs w:val="32"/>
        </w:rPr>
        <w:t>附件1</w:t>
      </w:r>
    </w:p>
    <w:p>
      <w:pPr>
        <w:jc w:val="center"/>
        <w:rPr>
          <w:rFonts w:ascii="Times New Roman" w:hAnsi="Times New Roman" w:eastAsia="方正小标宋_GBK"/>
          <w:sz w:val="36"/>
          <w:szCs w:val="36"/>
        </w:rPr>
      </w:pPr>
      <w:r>
        <w:rPr>
          <w:rFonts w:ascii="Times New Roman" w:hAnsi="Times New Roman" w:eastAsia="方正小标宋_GBK"/>
          <w:sz w:val="36"/>
          <w:szCs w:val="36"/>
        </w:rPr>
        <w:t>市政府决策咨询研究基地</w:t>
      </w:r>
      <w:r>
        <w:rPr>
          <w:rFonts w:hint="eastAsia" w:ascii="Times New Roman" w:hAnsi="Times New Roman" w:eastAsia="方正小标宋_GBK"/>
          <w:sz w:val="36"/>
          <w:szCs w:val="36"/>
          <w:lang w:val="en-US" w:eastAsia="zh-CN"/>
        </w:rPr>
        <w:t>参</w:t>
      </w:r>
      <w:bookmarkStart w:id="0" w:name="_GoBack"/>
      <w:bookmarkEnd w:id="0"/>
      <w:r>
        <w:rPr>
          <w:rFonts w:ascii="Times New Roman" w:hAnsi="Times New Roman" w:eastAsia="方正小标宋_GBK"/>
          <w:sz w:val="36"/>
          <w:szCs w:val="36"/>
        </w:rPr>
        <w:t>考选题目录</w:t>
      </w:r>
    </w:p>
    <w:tbl>
      <w:tblPr>
        <w:tblStyle w:val="2"/>
        <w:tblW w:w="4998" w:type="pct"/>
        <w:tblInd w:w="0" w:type="dxa"/>
        <w:tblLayout w:type="autofit"/>
        <w:tblCellMar>
          <w:top w:w="0" w:type="dxa"/>
          <w:left w:w="108" w:type="dxa"/>
          <w:bottom w:w="0" w:type="dxa"/>
          <w:right w:w="108" w:type="dxa"/>
        </w:tblCellMar>
      </w:tblPr>
      <w:tblGrid>
        <w:gridCol w:w="816"/>
        <w:gridCol w:w="7703"/>
      </w:tblGrid>
      <w:tr>
        <w:tblPrEx>
          <w:tblCellMar>
            <w:top w:w="0" w:type="dxa"/>
            <w:left w:w="108" w:type="dxa"/>
            <w:bottom w:w="0" w:type="dxa"/>
            <w:right w:w="108" w:type="dxa"/>
          </w:tblCellMar>
        </w:tblPrEx>
        <w:trPr>
          <w:trHeight w:val="689" w:hRule="atLeast"/>
          <w:tblHeader/>
        </w:trPr>
        <w:tc>
          <w:tcPr>
            <w:tcW w:w="479"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楷体"/>
                <w:b/>
                <w:bCs/>
                <w:sz w:val="28"/>
                <w:szCs w:val="28"/>
              </w:rPr>
            </w:pPr>
            <w:r>
              <w:rPr>
                <w:rFonts w:ascii="Times New Roman" w:hAnsi="Times New Roman" w:eastAsia="楷体"/>
                <w:b/>
                <w:bCs/>
                <w:sz w:val="28"/>
                <w:szCs w:val="28"/>
              </w:rPr>
              <w:t>序号</w:t>
            </w:r>
          </w:p>
        </w:tc>
        <w:tc>
          <w:tcPr>
            <w:tcW w:w="4520" w:type="pct"/>
            <w:vMerge w:val="restart"/>
            <w:tcBorders>
              <w:top w:val="single" w:color="auto" w:sz="4" w:space="0"/>
              <w:left w:val="nil"/>
              <w:right w:val="single" w:color="auto" w:sz="4" w:space="0"/>
            </w:tcBorders>
            <w:noWrap w:val="0"/>
            <w:vAlign w:val="center"/>
          </w:tcPr>
          <w:p>
            <w:pPr>
              <w:jc w:val="center"/>
              <w:rPr>
                <w:rFonts w:ascii="Times New Roman" w:hAnsi="Times New Roman" w:eastAsia="楷体"/>
                <w:b/>
                <w:bCs/>
                <w:sz w:val="28"/>
                <w:szCs w:val="28"/>
              </w:rPr>
            </w:pPr>
            <w:r>
              <w:rPr>
                <w:rFonts w:ascii="Times New Roman" w:hAnsi="Times New Roman" w:eastAsia="楷体"/>
                <w:b/>
                <w:bCs/>
                <w:sz w:val="28"/>
                <w:szCs w:val="28"/>
              </w:rPr>
              <w:t>选题名称</w:t>
            </w:r>
          </w:p>
        </w:tc>
      </w:tr>
      <w:tr>
        <w:tblPrEx>
          <w:tblCellMar>
            <w:top w:w="0" w:type="dxa"/>
            <w:left w:w="108" w:type="dxa"/>
            <w:bottom w:w="0" w:type="dxa"/>
            <w:right w:w="108" w:type="dxa"/>
          </w:tblCellMar>
        </w:tblPrEx>
        <w:trPr>
          <w:trHeight w:val="312" w:hRule="atLeast"/>
          <w:tblHeader/>
        </w:trPr>
        <w:tc>
          <w:tcPr>
            <w:tcW w:w="479"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楷体"/>
                <w:b/>
                <w:bCs/>
                <w:sz w:val="28"/>
                <w:szCs w:val="28"/>
              </w:rPr>
            </w:pPr>
          </w:p>
        </w:tc>
        <w:tc>
          <w:tcPr>
            <w:tcW w:w="4520" w:type="pct"/>
            <w:vMerge w:val="continue"/>
            <w:tcBorders>
              <w:left w:val="nil"/>
              <w:bottom w:val="single" w:color="auto" w:sz="4" w:space="0"/>
              <w:right w:val="single" w:color="auto" w:sz="4" w:space="0"/>
            </w:tcBorders>
            <w:noWrap w:val="0"/>
            <w:vAlign w:val="center"/>
          </w:tcPr>
          <w:p>
            <w:pPr>
              <w:jc w:val="center"/>
              <w:rPr>
                <w:rFonts w:ascii="Times New Roman" w:hAnsi="Times New Roman" w:eastAsia="楷体"/>
                <w:b/>
                <w:bCs/>
                <w:sz w:val="28"/>
                <w:szCs w:val="28"/>
              </w:rPr>
            </w:pPr>
          </w:p>
        </w:tc>
      </w:tr>
      <w:tr>
        <w:tblPrEx>
          <w:tblCellMar>
            <w:top w:w="0" w:type="dxa"/>
            <w:left w:w="108" w:type="dxa"/>
            <w:bottom w:w="0" w:type="dxa"/>
            <w:right w:w="108" w:type="dxa"/>
          </w:tblCellMar>
        </w:tblPrEx>
        <w:trPr>
          <w:trHeight w:val="652"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“走出去”企业和专业服务机构建立符合国际规则的合规经营体系研究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对标国际规则，完善上海绿色低碳体系研究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推进跨境数据流动国际比较研究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新形势下提升上海航运保险市场竞争力和影响力研究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加快推动航运业智慧绿色转型的突破口和重大抓手研究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上海-洛杉矶航运碳排放与绿色航运走廊建设研究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上海自贸区建设中的航运公证制度创新研究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配售型保障性住房和现有房地产市场关系研究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提升五个新城与中心城快捷通行水平的发展思路研究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上海城市公园服务管理能级提升对策研究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上海存量商办楼宇使用状况和更新策略研究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上海固体废物回收利用体系研究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上海国土空间生态修复市场化的机制和模式研究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水绿融合加强湿地建设实施路径和政策机制研究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建立与国际接轨的具有中国特色的上海国际商事调解机构研究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具有国际竞争力的船舶管理税收政策研究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加快上海人民币汇率衍生品市场建设研究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加快上海全球绿色金融资产管理中心建设研究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上海地方金融风险防范研究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上海进一步扩大数字人民币试点路径研究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上海培育一流投资银行机构策略研究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上海养老金融可持续发展对策举措研究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数字技术创新视角下国际金融中心城市发展动力研究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数字金融助力上海经济高质量发展研究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科技金融赋能企业金融韧性提升的机制与效应研究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上海转型金融与绿色金融协同路径研究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中美利差倒挂对上海金融市场开放和风险管控影响研究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上海打造全球法律服务资源集聚高地的难点与对策研究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上海盘活国资国企存量研究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上海地方涉外法治实践研究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帮助专精特新中小企业提升知识产权运营能力和融资效率研究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恢复和扩大居民消费举措研究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进一步激发城市活力研究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上海发展海洋经济的重点和突破口研究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全球资本流动趋势变化及特点研究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基础研究财政投入国际比较研究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支持国有科技型企业开展股权和分红激励研究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“工业上楼”的国际经验比较及对上海启示研究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上海“专精特新”企业成长环境优化研究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上海布局发展新领域新赛道的前瞻性研究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上海加快推进智能制造高质量发展的突破口与对策研究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上海培育世界一流企业路径研究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新型工业化的上海落地思路和重点举措研究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促进上海知识产权服务业高质量发展研究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国有企业中传统产业的转型升级研究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加快构建上海现代化产业体系内涵和路径研究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上海大模型商业化应用路径及产业生态体系研究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上海生物科技产业创新发展的实施路径与政策研究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上海未来产业生态系统培育机制研究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上海未来学科对未来产业布局发展研究</w:t>
            </w:r>
          </w:p>
        </w:tc>
      </w:tr>
      <w:tr>
        <w:tblPrEx>
          <w:tblCellMar>
            <w:top w:w="0" w:type="dxa"/>
            <w:left w:w="108" w:type="dxa"/>
            <w:bottom w:w="0" w:type="dxa"/>
            <w:right w:w="108" w:type="dxa"/>
          </w:tblCellMar>
        </w:tblPrEx>
        <w:trPr>
          <w:trHeight w:val="78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依托上海生物医药产业生态优势探索“一带一路”医疗器械创新与应用的国际合作模式研究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引导产业链合理有序跨境布局研究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世界领先科技园区与国际大都市双向赋能的比较研究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上海科技农业的内涵及发展路径研究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上海产业、科技、金融协同发展研究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促进科技创新策源的财税政策创新研究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上海急需紧缺高技能人才断层问题现状及自主培养策略研究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上海破解医学科技创新短板问题研究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上海生物药“出海”面临瓶颈及对策研究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上海国资科创投资行业企业深化市场化改革研究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上海农村集体经济改革中的“新股份制”实践研究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上海加快提升服务贸易能级研究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上海加快拓展中间品贸易研究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提升上海国际贸易中心竞争力研究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提升上海居民收入助力上海国际消费中心建设研究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新形势下上海核心商圈功能改造提升的对策思路研究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上海支持低碳领域服务业能级提升政策举措研究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上海支持数字贸易领域服务业能级提升政策举措研究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上海专业服务业发展状况和政策体系评估研究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上海国际会展之都深度链接全球的瓶颈和突破口研究</w:t>
            </w:r>
          </w:p>
        </w:tc>
      </w:tr>
      <w:tr>
        <w:tblPrEx>
          <w:tblCellMar>
            <w:top w:w="0" w:type="dxa"/>
            <w:left w:w="108" w:type="dxa"/>
            <w:bottom w:w="0" w:type="dxa"/>
            <w:right w:w="108" w:type="dxa"/>
          </w:tblCellMar>
        </w:tblPrEx>
        <w:trPr>
          <w:trHeight w:val="78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上海深化拓展自贸区临港新片区特殊经济功能的土地制度性供给机制与路径研究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提升外资研发中心在沪运营粘性和研发参与度研究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碳关税对上海出口贸易的影响研究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上海促进国货老字号创新发展研究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上海零工（灵活就业人员）经济深入研究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上海实现共同富裕的标准和兜底范围研究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未来健康产业发展及空间布局研究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切实解决职业教育体系纵向贯通的“断头路”问题研究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上海推进校企合作，形成产业支撑研究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上海住院医师和专科医师规范化培训后的流向和绩效分析研究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上海优化市级医院收入结构及推动医院高质量发展研究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上海打造古文化走廊问题研究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上海打造世界著名的旅游城市对标研究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上海探索运动促进健康新模式研究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上海推进书香社会建设研究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上海中心城区打造高能级文创中心研究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新发展格局下上海文化出海战略研究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演艺大世界产业生态系统建设赋能上海演艺之都发展研究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上海劳动关系调处新机制研究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上海促进外籍人士生活、工作生活便利化举措研究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上海人口发展和区域协同发展研究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跨境数据流通相关法规落地研究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跨界数据与数据交易所的问题研究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上海城市数字化转型系统性风险防范与应对研究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上海数字经济发展新赛道研究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上海推进数字领域高水平制度型开放研究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数据合规利用视野下的自动驾驶立法研究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数据邻接权的建构研究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数据资产金融化制度探索研究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数字化转型的全球前沿动态跟踪研究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数字经济赋能上海制造业“上楼”的模式与途径研究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数据资产入表的影响研究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海洋及内河船舶使用生物燃料油的推广和应用研究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绿色低碳供应链国际管理体系衔接研究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绿色未来：构建上海市绿色转型指标评价与法律保障体系研究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上海加快绿色能源发展的战略研究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上海市推动形成低碳绿色生活方式的基本路径研究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上海温室气体与大气污染物协同管控的机制与路径研究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上海市数字碳汇建设面临的挑战和路径选择研究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长三角加快培育世界级高端产业集群的重点领域和突破口研究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共建长三角产业发展共同体的思路和举措研究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加快建设长三角一体化旅游大市场的规范研究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进一步加强长三角生态环境共保联治的研究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上海破解长三角一体化发展深层次问题研究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以上海研发带动长三角制造研究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116</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长三角地区重点产业协同发展的机制突破研究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117</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长三角区域共建三大先导产业研究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118</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长三角区域绿色制造体系研究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119</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长三角统一碳市场研究</w:t>
            </w:r>
          </w:p>
        </w:tc>
      </w:tr>
      <w:tr>
        <w:tblPrEx>
          <w:tblCellMar>
            <w:top w:w="0" w:type="dxa"/>
            <w:left w:w="108" w:type="dxa"/>
            <w:bottom w:w="0" w:type="dxa"/>
            <w:right w:w="108" w:type="dxa"/>
          </w:tblCellMar>
        </w:tblPrEx>
        <w:trPr>
          <w:trHeight w:val="624" w:hRule="exact"/>
        </w:trPr>
        <w:tc>
          <w:tcPr>
            <w:tcW w:w="479" w:type="pct"/>
            <w:tcBorders>
              <w:top w:val="nil"/>
              <w:left w:val="single" w:color="auto" w:sz="4" w:space="0"/>
              <w:bottom w:val="single" w:color="auto" w:sz="4" w:space="0"/>
              <w:right w:val="single" w:color="auto" w:sz="4" w:space="0"/>
            </w:tcBorders>
            <w:noWrap/>
            <w:vAlign w:val="center"/>
          </w:tcPr>
          <w:p>
            <w:pPr>
              <w:widowControl/>
              <w:spacing w:line="240" w:lineRule="auto"/>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120</w:t>
            </w:r>
          </w:p>
        </w:tc>
        <w:tc>
          <w:tcPr>
            <w:tcW w:w="4520" w:type="pct"/>
            <w:tcBorders>
              <w:top w:val="nil"/>
              <w:left w:val="nil"/>
              <w:bottom w:val="single" w:color="auto" w:sz="4" w:space="0"/>
              <w:right w:val="single" w:color="auto" w:sz="4" w:space="0"/>
            </w:tcBorders>
            <w:noWrap w:val="0"/>
            <w:vAlign w:val="center"/>
          </w:tcPr>
          <w:p>
            <w:pPr>
              <w:widowControl/>
              <w:spacing w:line="24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长三角一体化跨区域治理重点问题研究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OTM1ZWUzYmIyMjRjMjkxNTBiMGNlYThkYzMwM2MifQ=="/>
  </w:docVars>
  <w:rsids>
    <w:rsidRoot w:val="39D3439A"/>
    <w:rsid w:val="0F0036B2"/>
    <w:rsid w:val="39D3439A"/>
    <w:rsid w:val="4C92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autoRedefine/>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2024-03-22T07:01:00Z</dcterms:created>
  <dc:creator>佩佩</dc:creator>
  <cp:lastModifiedBy>佩佩</cp:lastModifiedBy>
  <dcterms:modified xsi:type="dcterms:W3CDTF">2024-03-22T07:11:47Z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C9C0267AE0434E3DA9D69A83D5CC9319_13</vt:lpwstr>
  </property>
</Properties>
</file>